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A8A7" w14:textId="77777777" w:rsidR="007B11C4" w:rsidRPr="007B11C4" w:rsidRDefault="007B11C4" w:rsidP="007B1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B11C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5BB03C9C" wp14:editId="13120E88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1C4">
        <w:rPr>
          <w:rFonts w:ascii="Times New Roman" w:eastAsia="Times New Roman" w:hAnsi="Times New Roman" w:cs="Times New Roman"/>
          <w:sz w:val="20"/>
          <w:szCs w:val="20"/>
          <w:lang w:eastAsia="hr-HR"/>
        </w:rPr>
        <w:fldChar w:fldCharType="begin"/>
      </w:r>
      <w:r w:rsidRPr="007B11C4">
        <w:rPr>
          <w:rFonts w:ascii="Times New Roman" w:eastAsia="Times New Roman" w:hAnsi="Times New Roman" w:cs="Times New Roman"/>
          <w:sz w:val="20"/>
          <w:szCs w:val="20"/>
          <w:lang w:eastAsia="hr-HR"/>
        </w:rPr>
        <w:instrText xml:space="preserve"> INCLUDEPICTURE "http://www.inet.hr/~box/images/grb-rh.gif" \* MERGEFORMATINET </w:instrText>
      </w:r>
      <w:r w:rsidRPr="007B11C4">
        <w:rPr>
          <w:rFonts w:ascii="Times New Roman" w:eastAsia="Times New Roman" w:hAnsi="Times New Roman" w:cs="Times New Roman"/>
          <w:sz w:val="20"/>
          <w:szCs w:val="20"/>
          <w:lang w:eastAsia="hr-HR"/>
        </w:rPr>
        <w:fldChar w:fldCharType="end"/>
      </w:r>
    </w:p>
    <w:p w14:paraId="2772F818" w14:textId="77777777" w:rsidR="007B11C4" w:rsidRPr="007B11C4" w:rsidRDefault="007B11C4" w:rsidP="007B11C4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7B11C4">
        <w:rPr>
          <w:rFonts w:ascii="Times New Roman" w:eastAsia="Times New Roman" w:hAnsi="Times New Roman" w:cs="Times New Roman"/>
          <w:sz w:val="28"/>
          <w:szCs w:val="20"/>
          <w:lang w:eastAsia="hr-HR"/>
        </w:rPr>
        <w:t>VLADA REPUBLIKE HRVATSKE</w:t>
      </w:r>
    </w:p>
    <w:p w14:paraId="00A47A01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E91E34" w14:textId="086ABA06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97A7F">
        <w:rPr>
          <w:rFonts w:ascii="Times New Roman" w:eastAsia="Times New Roman" w:hAnsi="Times New Roman" w:cs="Times New Roman"/>
          <w:sz w:val="24"/>
          <w:szCs w:val="24"/>
          <w:lang w:eastAsia="hr-HR"/>
        </w:rPr>
        <w:t>31. listopada</w:t>
      </w:r>
      <w:bookmarkStart w:id="0" w:name="_GoBack"/>
      <w:bookmarkEnd w:id="0"/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4A388051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F770B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6D61C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0C66A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8ACF9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08579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5D7BED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7B11C4" w:rsidRPr="007B11C4" w14:paraId="750C4203" w14:textId="77777777" w:rsidTr="00213923">
        <w:tc>
          <w:tcPr>
            <w:tcW w:w="1951" w:type="dxa"/>
            <w:shd w:val="clear" w:color="auto" w:fill="auto"/>
          </w:tcPr>
          <w:p w14:paraId="08680E70" w14:textId="77777777" w:rsidR="007B11C4" w:rsidRPr="007B11C4" w:rsidRDefault="007B11C4" w:rsidP="007B11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FEA247" w14:textId="77777777" w:rsidR="007B11C4" w:rsidRPr="007B11C4" w:rsidRDefault="007B11C4" w:rsidP="007B11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11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B11C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7B1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5A42B20" w14:textId="77777777" w:rsidR="007B11C4" w:rsidRPr="007B11C4" w:rsidRDefault="007B11C4" w:rsidP="007B11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174057" w14:textId="77777777" w:rsidR="007B11C4" w:rsidRPr="007B11C4" w:rsidRDefault="007B11C4" w:rsidP="007B11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11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financija</w:t>
            </w:r>
          </w:p>
        </w:tc>
      </w:tr>
    </w:tbl>
    <w:p w14:paraId="724D6965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7B11C4" w:rsidRPr="007B11C4" w14:paraId="346EC7E0" w14:textId="77777777" w:rsidTr="00213923">
        <w:tc>
          <w:tcPr>
            <w:tcW w:w="1951" w:type="dxa"/>
            <w:shd w:val="clear" w:color="auto" w:fill="auto"/>
          </w:tcPr>
          <w:p w14:paraId="1ED12EB8" w14:textId="77777777" w:rsidR="007B11C4" w:rsidRPr="007B11C4" w:rsidRDefault="007B11C4" w:rsidP="007B11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59FA1964" w14:textId="77777777" w:rsidR="007B11C4" w:rsidRPr="007B11C4" w:rsidRDefault="007B11C4" w:rsidP="007B11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11C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7B1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AACF548" w14:textId="77777777" w:rsidR="007B11C4" w:rsidRPr="007B11C4" w:rsidRDefault="007B11C4" w:rsidP="007B11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4AB0D6" w14:textId="77777777" w:rsidR="007B11C4" w:rsidRPr="007B11C4" w:rsidRDefault="007B11C4" w:rsidP="007B11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11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Prijedlog odluke o visini, načinu i rokovima uplate sredstava trgovačkih društava u državnom vlasništvu u Državni proračun Republike Hrvatske za 2024. godinu</w:t>
            </w:r>
          </w:p>
        </w:tc>
      </w:tr>
    </w:tbl>
    <w:p w14:paraId="18F6B6D1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BD02C9E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C883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11444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75ED8E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7214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364B9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BEA3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44439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230B4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3475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8518FD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CA52E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9DEE8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9343C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5C65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173B65" w14:textId="77777777" w:rsidR="007B11C4" w:rsidRPr="007B11C4" w:rsidRDefault="007B11C4" w:rsidP="007B1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54E5D38" w14:textId="77777777" w:rsidR="007B11C4" w:rsidRPr="007B11C4" w:rsidRDefault="007B11C4" w:rsidP="007B1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5B0AC8" w14:textId="77777777" w:rsidR="007B11C4" w:rsidRPr="007B11C4" w:rsidRDefault="007B11C4" w:rsidP="007B11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B96189" w14:textId="77777777" w:rsidR="007B11C4" w:rsidRPr="007B11C4" w:rsidRDefault="007B11C4" w:rsidP="007B1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FDFBE88" w14:textId="77777777" w:rsidR="007B11C4" w:rsidRPr="007B11C4" w:rsidRDefault="007B11C4" w:rsidP="007B11C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</w:pPr>
      <w:r w:rsidRPr="007B11C4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  <w:t>Banski dvori | Trg Sv. Marka 2  | 10000 Zagreb | tel. 01 4569 222 | vlada.gov.hr</w:t>
      </w:r>
    </w:p>
    <w:p w14:paraId="659D2140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11C4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581176C8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6AB07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Na temelju članka 60. Zakona o izvršavanju Državnog proračuna Republike Hrvatske za 2024. godinu („Narodne novine“, broj 149/23.), Vlada Republike Hrvatske je na sjednici održanoj __________ 2024. godine donijela</w:t>
      </w:r>
    </w:p>
    <w:p w14:paraId="67DBF33F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FB191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C0748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C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B501585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C4">
        <w:rPr>
          <w:rFonts w:ascii="Times New Roman" w:hAnsi="Times New Roman" w:cs="Times New Roman"/>
          <w:b/>
          <w:sz w:val="24"/>
          <w:szCs w:val="24"/>
        </w:rPr>
        <w:t>O VISINI, NAČINU I ROKOVIMA UPLATE SREDSTAVA TRGOVAČKIH DRUŠTAVA U DRŽAVNOM VLASNIŠTVU U DRŽAVNI PRORAČUN REPUBLIKE HRVATSKE ZA 2024. GODINU</w:t>
      </w:r>
    </w:p>
    <w:p w14:paraId="3A566A48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81EC4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115D4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I.</w:t>
      </w:r>
    </w:p>
    <w:p w14:paraId="58AF2A93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Ovom Odlukom određuje se visina, način i rok uplate sredstava s osnove dobiti trgovačkih društava za 2023. godinu, u kojima Republika Hrvatska ima većinski paket dionica ili većinski udio te trgovačkih društava od posebnog interesa u kojima Republika Hrvatska ima manjinski paket dionica ili manjinski udio, a koja će biti uplaćena u Državni proračun Republike Hrvatske za 2024. godinu.</w:t>
      </w:r>
    </w:p>
    <w:p w14:paraId="53012AF5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II.</w:t>
      </w:r>
    </w:p>
    <w:p w14:paraId="6ED9E5DF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Odredbe ove Odluke primjenjuju se na trgovačka društva navedena u popisu koji se nalazi u prilogu ove Odluke i njezin je sastavni dio.</w:t>
      </w:r>
    </w:p>
    <w:p w14:paraId="3854994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9A0B3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III.</w:t>
      </w:r>
    </w:p>
    <w:p w14:paraId="5AE6AD5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(1) Članovi skupština trgovačkih društava navedenih u popisu iz točke II. ove Odluke u kojima Republika Hrvatska ima većinski paket dionica ili većinski udio obvezni su poduzeti sve potrebne radnje i mjere da trgovačka društva dio dobiti nakon oporezivanja za 2023. godinu uplate izravno u Državni proračun Republike Hrvatske za 2024. godinu, razmjerno paketu dionica ili udjela Republike Hrvatske u temeljnom kapitalu društva. </w:t>
      </w:r>
    </w:p>
    <w:p w14:paraId="5E9408C4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2935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(2) Članovi nadzornih odbora trgovačkih društava navedenih u popisu iz točke II. ove Odluke obvezni su, prije održavanja redovitih skupština, poduzeti sve pripremne radnje za provedbu radnji i mjera iz stavka 1. ove točke.</w:t>
      </w:r>
    </w:p>
    <w:p w14:paraId="4336C69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CB3A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(3) U trgovačkim društvima od posebnog interesa za Republiku Hrvatsku navedenih u popisu iz točke II. ove Odluke, u kojima Republika Hrvatska ima manjinski paket dionica ili manjinski udio, članovi skupština i nadzornih odbora koji zastupaju Republiku Hrvatsku, obvezni su zahtijevati da se dio dobiti nakon oporezivanja za 2023. godinu uplati izravno u Državni proračun Republike Hrvatske za 2024. godinu, razmjerno paketu dionica ili udjela Republike Hrvatske u temeljnom kapitalu društva.</w:t>
      </w:r>
    </w:p>
    <w:p w14:paraId="10357EC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D2C9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IV.</w:t>
      </w:r>
    </w:p>
    <w:p w14:paraId="179C6D3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(1) Trgovačka društva navedena u popisu iz točke II. ove Odluke dužna su, prije uplate dobiti u Državni proračun Republike Hrvatske za 2024. godinu, sukladno odredbama ove Odluke, postupiti prema odredbama zakona kojim se uređuju trgovačka društva.</w:t>
      </w:r>
    </w:p>
    <w:p w14:paraId="6715DA86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2BD5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(2) Nakon donošenja odluka trgovačkih društava navedenih u popisu iz točke II. ove Odluke, koje su potrebne za provedbu radnji i mjera sukladno ovoj Odluci, odnosno ispunjenja svih obveza iz stavka 1. ove točke, trgovačka društva navedena u popisu iz točke II. ove Odluke uplatit će 60% sredstava s osnove dobiti nakon oporezivanja za 2023. godinu, ostvarenih na </w:t>
      </w:r>
      <w:r w:rsidRPr="007B11C4">
        <w:rPr>
          <w:rFonts w:ascii="Times New Roman" w:hAnsi="Times New Roman" w:cs="Times New Roman"/>
          <w:sz w:val="24"/>
          <w:szCs w:val="24"/>
        </w:rPr>
        <w:lastRenderedPageBreak/>
        <w:t>temelju udjela u temeljnom kapitalu društva koji pripada Republici Hrvatskoj u Državni proračun Republike Hrvatske za 2024. godinu.</w:t>
      </w:r>
    </w:p>
    <w:p w14:paraId="13376C77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8BBC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(3) Iznimno od stavka 2. ove točke:</w:t>
      </w:r>
    </w:p>
    <w:p w14:paraId="115914D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0670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– trgovačko društvo Agencija Alan d.o.o., Zagreb uplatit će 100% sredstava s osnove dobiti nakon oporezivanja za 2023. godinu u Državni proračun Republike Hrvatske za 2024. godinu i ta </w:t>
      </w:r>
      <w:r w:rsidRPr="003745FD">
        <w:rPr>
          <w:rFonts w:ascii="Times New Roman" w:hAnsi="Times New Roman" w:cs="Times New Roman"/>
          <w:sz w:val="24"/>
          <w:szCs w:val="24"/>
        </w:rPr>
        <w:t>će sredstva biti namjenski korištena za unapređenje i razvoj sustava obrane Republike Hrvatske,</w:t>
      </w:r>
    </w:p>
    <w:p w14:paraId="55FC3301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9C8F" w14:textId="77777777" w:rsid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– trgovačko društvo Hrvatska Lutrija d.o.o., Zagreb uplatit će dobit koju ostvari u Državni proračun Republike Hrvatske za 2024. godinu, sukladno članku 9. stavku 6. Zakona o igrama na sreću („Narodne novine“, br. 87/09., 35/13., 158/</w:t>
      </w:r>
      <w:r w:rsidR="00A3318D">
        <w:rPr>
          <w:rFonts w:ascii="Times New Roman" w:hAnsi="Times New Roman" w:cs="Times New Roman"/>
          <w:sz w:val="24"/>
          <w:szCs w:val="24"/>
        </w:rPr>
        <w:t>13., 41/14., 143/14. i 114/22.).</w:t>
      </w:r>
    </w:p>
    <w:p w14:paraId="21ABE2B5" w14:textId="77777777" w:rsidR="00A3318D" w:rsidRDefault="00A3318D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FB8A" w14:textId="77777777" w:rsidR="00A3318D" w:rsidRPr="007B11C4" w:rsidRDefault="00A3318D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2C967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V.</w:t>
      </w:r>
    </w:p>
    <w:p w14:paraId="4C85605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Trgovačka društva navedena u popisu iz točke II. ove Odluke su sredstva s osnove dobiti nakon oporezivanja utvrđena ovom Odlukom, dužna uplatiti izravno na račun državnog proračuna </w:t>
      </w:r>
      <w:r w:rsidRPr="003745FD">
        <w:rPr>
          <w:rFonts w:ascii="Times New Roman" w:hAnsi="Times New Roman" w:cs="Times New Roman"/>
          <w:sz w:val="24"/>
          <w:szCs w:val="24"/>
        </w:rPr>
        <w:t>IBAN HR1210010051863000160 s modelom 68 i pozivom na broj 7161-OIB uplatitelja-</w:t>
      </w:r>
      <w:r w:rsidRPr="007B11C4">
        <w:rPr>
          <w:rFonts w:ascii="Times New Roman" w:hAnsi="Times New Roman" w:cs="Times New Roman"/>
          <w:sz w:val="24"/>
          <w:szCs w:val="24"/>
        </w:rPr>
        <w:t>godina za koju se uplaćuje dobit prema dinamici uplate koju će usuglasiti s Ministarstvom financija.</w:t>
      </w:r>
    </w:p>
    <w:p w14:paraId="33CCCC7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D6858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VI.</w:t>
      </w:r>
    </w:p>
    <w:p w14:paraId="2D28D3C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5FD">
        <w:rPr>
          <w:rFonts w:ascii="Times New Roman" w:hAnsi="Times New Roman" w:cs="Times New Roman"/>
          <w:sz w:val="24"/>
          <w:szCs w:val="24"/>
        </w:rPr>
        <w:t xml:space="preserve">Trgovačka društva navedena u popisu iz točke II. ove Odluke dostavit će najkasnije do </w:t>
      </w:r>
      <w:r w:rsidR="00241FB0" w:rsidRPr="00BE645F">
        <w:rPr>
          <w:rFonts w:ascii="Times New Roman" w:hAnsi="Times New Roman" w:cs="Times New Roman"/>
          <w:sz w:val="24"/>
          <w:szCs w:val="24"/>
        </w:rPr>
        <w:t>1</w:t>
      </w:r>
      <w:r w:rsidR="007D2517">
        <w:rPr>
          <w:rFonts w:ascii="Times New Roman" w:hAnsi="Times New Roman" w:cs="Times New Roman"/>
          <w:sz w:val="24"/>
          <w:szCs w:val="24"/>
        </w:rPr>
        <w:t>5</w:t>
      </w:r>
      <w:r w:rsidR="00A3318D" w:rsidRPr="00BE645F">
        <w:rPr>
          <w:rFonts w:ascii="Times New Roman" w:hAnsi="Times New Roman" w:cs="Times New Roman"/>
          <w:sz w:val="24"/>
          <w:szCs w:val="24"/>
        </w:rPr>
        <w:t xml:space="preserve">. </w:t>
      </w:r>
      <w:r w:rsidR="007D2517">
        <w:rPr>
          <w:rFonts w:ascii="Times New Roman" w:hAnsi="Times New Roman" w:cs="Times New Roman"/>
          <w:sz w:val="24"/>
          <w:szCs w:val="24"/>
        </w:rPr>
        <w:t>studenoga</w:t>
      </w:r>
      <w:r w:rsidRPr="00BE645F">
        <w:rPr>
          <w:rFonts w:ascii="Times New Roman" w:hAnsi="Times New Roman" w:cs="Times New Roman"/>
          <w:sz w:val="24"/>
          <w:szCs w:val="24"/>
        </w:rPr>
        <w:t xml:space="preserve"> </w:t>
      </w:r>
      <w:r w:rsidRPr="003745FD">
        <w:rPr>
          <w:rFonts w:ascii="Times New Roman" w:hAnsi="Times New Roman" w:cs="Times New Roman"/>
          <w:sz w:val="24"/>
          <w:szCs w:val="24"/>
        </w:rPr>
        <w:t>2024. godine Ministarstvu financija obavijest o svim planiranim, odnosno poduzetim</w:t>
      </w:r>
      <w:r w:rsidRPr="007B11C4">
        <w:rPr>
          <w:rFonts w:ascii="Times New Roman" w:hAnsi="Times New Roman" w:cs="Times New Roman"/>
          <w:sz w:val="24"/>
          <w:szCs w:val="24"/>
        </w:rPr>
        <w:t xml:space="preserve"> radnjama i mjerama u svrhu provedbe ove Odluke.</w:t>
      </w:r>
    </w:p>
    <w:p w14:paraId="12508083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EDC8F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VII.</w:t>
      </w:r>
    </w:p>
    <w:p w14:paraId="134031E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Zadužuje se Ministarstvo financija da o donošenju ove Odluke, na odgovarajući način, izvijesti trgovačka društva na koja se ova Odluka odnosi.</w:t>
      </w:r>
    </w:p>
    <w:p w14:paraId="20C7C14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F0136" w14:textId="77777777" w:rsidR="007B11C4" w:rsidRPr="00BE645F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VIII.</w:t>
      </w:r>
    </w:p>
    <w:p w14:paraId="33EE397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5F">
        <w:rPr>
          <w:rFonts w:ascii="Times New Roman" w:hAnsi="Times New Roman" w:cs="Times New Roman"/>
          <w:sz w:val="24"/>
          <w:szCs w:val="24"/>
        </w:rPr>
        <w:t xml:space="preserve">Odredbe ove Odluke primjenjuju se i na trgovačka društva iz popisa </w:t>
      </w:r>
      <w:r w:rsidR="00241FB0" w:rsidRPr="00BE645F">
        <w:rPr>
          <w:rFonts w:ascii="Times New Roman" w:hAnsi="Times New Roman" w:cs="Times New Roman"/>
          <w:sz w:val="24"/>
          <w:szCs w:val="24"/>
        </w:rPr>
        <w:t>iz točke II. ove Odluke</w:t>
      </w:r>
      <w:r w:rsidRPr="00BE645F">
        <w:rPr>
          <w:rFonts w:ascii="Times New Roman" w:hAnsi="Times New Roman" w:cs="Times New Roman"/>
          <w:sz w:val="24"/>
          <w:szCs w:val="24"/>
        </w:rPr>
        <w:t xml:space="preserve">, </w:t>
      </w:r>
      <w:r w:rsidRPr="007B11C4">
        <w:rPr>
          <w:rFonts w:ascii="Times New Roman" w:hAnsi="Times New Roman" w:cs="Times New Roman"/>
          <w:sz w:val="24"/>
          <w:szCs w:val="24"/>
        </w:rPr>
        <w:t>a koja su održala redovite skupštine u 2024. godini.</w:t>
      </w:r>
    </w:p>
    <w:p w14:paraId="551FD463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3B65A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IX.</w:t>
      </w:r>
    </w:p>
    <w:p w14:paraId="1217731D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14:paraId="28A7DFE6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55584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966C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50D958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752E7C9D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76B1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36292E42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582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3A52" w14:textId="77777777" w:rsidR="007B11C4" w:rsidRPr="007B11C4" w:rsidRDefault="007B11C4" w:rsidP="007B11C4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C4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4A012751" w14:textId="77777777" w:rsidR="007B11C4" w:rsidRPr="007B11C4" w:rsidRDefault="007B11C4" w:rsidP="007B11C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br/>
      </w:r>
      <w:r w:rsidRPr="007B11C4">
        <w:rPr>
          <w:rFonts w:ascii="Times New Roman" w:hAnsi="Times New Roman" w:cs="Times New Roman"/>
          <w:bCs/>
          <w:sz w:val="24"/>
          <w:szCs w:val="24"/>
        </w:rPr>
        <w:t>mr. sc. Andrej Plenković</w:t>
      </w:r>
    </w:p>
    <w:p w14:paraId="294E2BDD" w14:textId="77777777" w:rsidR="007B11C4" w:rsidRPr="007B11C4" w:rsidRDefault="007B11C4" w:rsidP="007B11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br w:type="page"/>
      </w:r>
      <w:r w:rsidRPr="007B11C4">
        <w:rPr>
          <w:rFonts w:ascii="Times New Roman" w:hAnsi="Times New Roman" w:cs="Times New Roman"/>
          <w:b/>
          <w:sz w:val="24"/>
          <w:szCs w:val="24"/>
        </w:rPr>
        <w:lastRenderedPageBreak/>
        <w:t>Prilog</w:t>
      </w:r>
    </w:p>
    <w:p w14:paraId="36F5842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3905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2EAA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Popis trgovačkih društava:</w:t>
      </w:r>
    </w:p>
    <w:p w14:paraId="13FEEBEE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B778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ACI d.d., Rijeka</w:t>
      </w:r>
    </w:p>
    <w:p w14:paraId="64643E4C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Agencija Alan d.o.o., Zagreb</w:t>
      </w:r>
    </w:p>
    <w:p w14:paraId="74B6E34A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Agencija za komercijalnu djelatnost d.o.o. (AKD d.o.o.), Zagreb</w:t>
      </w:r>
    </w:p>
    <w:p w14:paraId="273A8D7D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Agencija za podršku informacijskim sustavima i informacijskim tehnologijama d.o.o. (APIS IT d.o.o.), Zagreb</w:t>
      </w:r>
    </w:p>
    <w:p w14:paraId="0C52B4C7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Državne nekretnine d.o.o., Zagreb</w:t>
      </w:r>
    </w:p>
    <w:p w14:paraId="5BEDEAE4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Hrvatska kontrola zračne plovidbe d.o.o., Velika Gorica</w:t>
      </w:r>
    </w:p>
    <w:p w14:paraId="51591A4C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Hrvatska Lutrija d.o.o., Zagreb</w:t>
      </w:r>
    </w:p>
    <w:p w14:paraId="6252BDE8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Hrvatska poštanska banka d.d., Zagreb</w:t>
      </w:r>
    </w:p>
    <w:p w14:paraId="1B4C677E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Hrvatske šume d.o.o., Zagreb</w:t>
      </w:r>
    </w:p>
    <w:p w14:paraId="5D2B0A10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Hrvatski operator tržišta energije d.o.o., Zagreb</w:t>
      </w:r>
    </w:p>
    <w:p w14:paraId="572DF7FB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HŽ Cargo d.o.o., Zagreb</w:t>
      </w:r>
    </w:p>
    <w:p w14:paraId="198F2ECE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 xml:space="preserve">HŽ Infrastruktura d.o.o., Zagreb </w:t>
      </w:r>
    </w:p>
    <w:p w14:paraId="2503476A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INA – Industrija nafte d.d., Zagreb</w:t>
      </w:r>
    </w:p>
    <w:p w14:paraId="09D7784A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Jadranski naftovod d.d. (JANAF d.d.), Zagreb</w:t>
      </w:r>
    </w:p>
    <w:p w14:paraId="2A2E6D00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Narodne novine d.d., Zagreb</w:t>
      </w:r>
    </w:p>
    <w:p w14:paraId="521862BB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Odašiljači i veze d.o.o., Zagreb</w:t>
      </w:r>
    </w:p>
    <w:p w14:paraId="0C906F96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Plovput d.o.o., Split</w:t>
      </w:r>
    </w:p>
    <w:p w14:paraId="1C158431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Zračna luka Dubrovnik d.o.o., Čilipi</w:t>
      </w:r>
    </w:p>
    <w:p w14:paraId="007D1635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Zračna luka Split d.o.o., Kaštel Štafilić</w:t>
      </w:r>
    </w:p>
    <w:p w14:paraId="59C9B0E4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Zračna luka Zadar d.o.o., Zemunik Donji</w:t>
      </w:r>
    </w:p>
    <w:p w14:paraId="2993F92A" w14:textId="77777777" w:rsidR="007B11C4" w:rsidRPr="007B11C4" w:rsidRDefault="007B11C4" w:rsidP="007B1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Zračna luka Zagreb d.o.o., Velika Gorica.</w:t>
      </w:r>
    </w:p>
    <w:p w14:paraId="2CCA998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F83C9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br w:type="page"/>
      </w:r>
    </w:p>
    <w:p w14:paraId="181FB061" w14:textId="77777777" w:rsidR="007B11C4" w:rsidRPr="007B11C4" w:rsidRDefault="007B11C4" w:rsidP="007B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12BE448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585107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donosi se na temelju članka 60. Zakona o izvršavanju Državnog proračuna Republike Hrvatske za 2024. godinu („Narodne novine“, broj 149/23.) i njome se određuje visina, način i rokovi uplate sredstava u Državni proračun Republike Hrvatske za 2024. godinu s osnove dobiti nakon oporezivanja za 2023. godinu trgovačkih društava </w:t>
      </w:r>
      <w:r w:rsidRPr="007B11C4">
        <w:rPr>
          <w:rFonts w:ascii="Times New Roman" w:hAnsi="Times New Roman" w:cs="Times New Roman"/>
          <w:sz w:val="24"/>
          <w:szCs w:val="24"/>
        </w:rPr>
        <w:t xml:space="preserve">u kojima Republika Hrvatska ima većinski paket dionica ili većinski udio te trgovačkih društava od posebnog interesa u kojima Republika Hrvatska ima manjinski paket dionica ili manjinski udio </w:t>
      </w: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iz popisa trgovačkih društava u prilogu ove Odluke.</w:t>
      </w:r>
    </w:p>
    <w:p w14:paraId="5F294CC9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73B3A7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Odredbama ove Odluke obvezuju se članovi skupština trgovačkih društava u kojima Republika Hrvatska ima većinski paket dionica ili većinski udio, poduzeti sve potrebne radnje i mjere da trgovačka društva dio dobiti ili cijelu dobit nakon oporezivanja za 2023. godinu uplate izravno u Državni proračun Republike Hrvatske za 2024. godinu, a razmjerno paketu dionica ili udjela Republike Hrvatske u temeljnom kapitalu društva. Članovi nadzornih odbora navedenih trgovačkih društava obvezni su poduzeti sve pripremne radnje prije održavanja redovitih skupština trgovačkih društava kojima će se omogućiti provedba mjera, sukladno ovoj Odluci.</w:t>
      </w:r>
    </w:p>
    <w:p w14:paraId="47BFF871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ADAAC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Također, obvezuju se članovi skupština nadzornih odbora koji zastupaju Republiku Hrvatsku u trgovačkom društvu od posebnog interesa za Republiku Hrvatsku u kojem Republika Hrvatska ima manjinski paket dionica ili manjinski udio, zahtijevati da se dio dobiti nakon oporezivanja za 2023. godinu uplati izravno u Državni proračun Republike Hrvatske za 2024. godinu, a razmjerno paketu dionica ili udjela Republike Hrvatske u temeljnom kapitalu društva, sukladno ovoj Odluci.</w:t>
      </w:r>
    </w:p>
    <w:p w14:paraId="7793C73B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F1EF6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Točkom IV. ove Odluke utvrđuje se da će</w:t>
      </w:r>
      <w:r w:rsidRPr="007B11C4">
        <w:rPr>
          <w:rFonts w:ascii="Times New Roman" w:hAnsi="Times New Roman" w:cs="Times New Roman"/>
          <w:sz w:val="24"/>
          <w:szCs w:val="24"/>
        </w:rPr>
        <w:t xml:space="preserve"> </w:t>
      </w: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društva postupiti prema odredbama zakona kojim se uređuju trgovačka društva, nakon čega će uplatiti 60% sredstava s osnove dobiti nakon oporezivanja</w:t>
      </w:r>
      <w:r w:rsidR="00594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2023. godinu. Iznimka su dva</w:t>
      </w: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trgovačka društva koja će dobit nakon oporezivanja uplatiti na sljedeći način: </w:t>
      </w:r>
    </w:p>
    <w:p w14:paraId="2563BF6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19106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trgovačko društvo Agencija Alan d.o.o., Zagreb će 100% sredstava s osnove dobiti nakon oporezivanja za 2023. godinu uplatiti u Državni proračun Republike Hrvatske za 2024. godinu </w:t>
      </w:r>
      <w:r w:rsidRPr="003745FD">
        <w:rPr>
          <w:rFonts w:ascii="Times New Roman" w:eastAsia="Times New Roman" w:hAnsi="Times New Roman" w:cs="Times New Roman"/>
          <w:sz w:val="24"/>
          <w:szCs w:val="24"/>
          <w:lang w:eastAsia="hr-HR"/>
        </w:rPr>
        <w:t>i ta će sredstva biti namjenski korištena za u</w:t>
      </w:r>
      <w:r w:rsidRPr="003745FD">
        <w:rPr>
          <w:rFonts w:ascii="Times New Roman" w:hAnsi="Times New Roman" w:cs="Times New Roman"/>
          <w:sz w:val="24"/>
          <w:szCs w:val="24"/>
        </w:rPr>
        <w:t xml:space="preserve">napređenje i razvoj sustava obrane </w:t>
      </w:r>
      <w:r w:rsidRPr="003745F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Hrvatske,</w:t>
      </w:r>
    </w:p>
    <w:p w14:paraId="7D159A7F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trgovačko društvo Hrvatska Lutrija d.o.o., Zagreb će sukladno članku 9. stavku 6. Zakona o igrama na sreću („Narodne novine“, br. 87/09., 35/13., 158/13., 41/14., 143/14. i 114/22.) cjelokupnu dobit koju ostvari uplatiti u Državni proračun Rep</w:t>
      </w:r>
      <w:r w:rsidR="00594544">
        <w:rPr>
          <w:rFonts w:ascii="Times New Roman" w:eastAsia="Times New Roman" w:hAnsi="Times New Roman" w:cs="Times New Roman"/>
          <w:sz w:val="24"/>
          <w:szCs w:val="24"/>
          <w:lang w:eastAsia="hr-HR"/>
        </w:rPr>
        <w:t>ublike Hrvatske za 2024. godinu.</w:t>
      </w:r>
    </w:p>
    <w:p w14:paraId="40D4FC23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9AA40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bi se utvrdilo postupaju li trgovačka društva koja su adresati ove Odluke u skladu s istom, </w:t>
      </w:r>
      <w:r w:rsidRPr="003745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obvezna su najkasnije do </w:t>
      </w:r>
      <w:r w:rsidR="003519C5" w:rsidRPr="00BE64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B2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E64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86B20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Pr="00BE64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45FD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 obavijestiti Ministarstvo financija o svim</w:t>
      </w: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planiranim, odnosno poduzetim radnjama i mjerama u svrhu provedbe ove Odluke.</w:t>
      </w:r>
    </w:p>
    <w:p w14:paraId="4A65236E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D060F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4">
        <w:rPr>
          <w:rFonts w:ascii="Times New Roman" w:hAnsi="Times New Roman" w:cs="Times New Roman"/>
          <w:sz w:val="24"/>
          <w:szCs w:val="24"/>
        </w:rPr>
        <w:t>Odredbe ove Odluke primjenjuju se i na trgovačka društva iz popisa koji se nalazi u prilogu ove Odluke, a koja su održala redovite skupštine u 2024. godini.</w:t>
      </w:r>
    </w:p>
    <w:p w14:paraId="7FAE31C8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B8B8AC" w14:textId="77777777" w:rsidR="007B11C4" w:rsidRPr="007B11C4" w:rsidRDefault="007B11C4" w:rsidP="007B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predlaže se Vladi Republike Hrvatske donošenje predmetne Odluke. </w:t>
      </w:r>
    </w:p>
    <w:p w14:paraId="4191716E" w14:textId="77777777" w:rsidR="0024593C" w:rsidRDefault="0024593C"/>
    <w:sectPr w:rsidR="0024593C" w:rsidSect="00B718E5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C20"/>
    <w:multiLevelType w:val="hybridMultilevel"/>
    <w:tmpl w:val="E0F4884E"/>
    <w:lvl w:ilvl="0" w:tplc="5F8E54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F5"/>
    <w:rsid w:val="00097BD1"/>
    <w:rsid w:val="000C32F0"/>
    <w:rsid w:val="00241FB0"/>
    <w:rsid w:val="0024593C"/>
    <w:rsid w:val="003519C5"/>
    <w:rsid w:val="003745FD"/>
    <w:rsid w:val="005134DA"/>
    <w:rsid w:val="00580F5C"/>
    <w:rsid w:val="00594544"/>
    <w:rsid w:val="00686B20"/>
    <w:rsid w:val="007B11C4"/>
    <w:rsid w:val="007D2517"/>
    <w:rsid w:val="008A16BA"/>
    <w:rsid w:val="00A3318D"/>
    <w:rsid w:val="00A771C0"/>
    <w:rsid w:val="00B97A7F"/>
    <w:rsid w:val="00BE645F"/>
    <w:rsid w:val="00BF3F6C"/>
    <w:rsid w:val="00C31FF5"/>
    <w:rsid w:val="00E423C2"/>
    <w:rsid w:val="00F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E701"/>
  <w15:chartTrackingRefBased/>
  <w15:docId w15:val="{08E0D855-2F26-4C40-9030-2F0B28F5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AZJMDCZ6QSYZ-1849078857-41323</_dlc_DocId>
    <_dlc_DocIdUrl xmlns="a494813a-d0d8-4dad-94cb-0d196f36ba15">
      <Url>https://ekoordinacije.vlada.hr/koordinacija-gospodarstvo/_layouts/15/DocIdRedir.aspx?ID=AZJMDCZ6QSYZ-1849078857-41323</Url>
      <Description>AZJMDCZ6QSYZ-1849078857-41323</Description>
    </_dlc_DocIdUrl>
  </documentManagement>
</p:properties>
</file>

<file path=customXml/itemProps1.xml><?xml version="1.0" encoding="utf-8"?>
<ds:datastoreItem xmlns:ds="http://schemas.openxmlformats.org/officeDocument/2006/customXml" ds:itemID="{8383C544-2DB4-43AC-9B2D-88179C7EB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1BFD8-EA3B-4901-A472-330ECD568F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16A42-70E6-415A-A25D-94D142EA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71F58-9756-44C3-8745-CE1134ADD9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494813a-d0d8-4dad-94cb-0d196f36ba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td</dc:creator>
  <cp:keywords/>
  <dc:description/>
  <cp:lastModifiedBy>Sonja Tučkar</cp:lastModifiedBy>
  <cp:revision>29</cp:revision>
  <cp:lastPrinted>2024-10-29T11:57:00Z</cp:lastPrinted>
  <dcterms:created xsi:type="dcterms:W3CDTF">2024-05-29T04:59:00Z</dcterms:created>
  <dcterms:modified xsi:type="dcterms:W3CDTF">2024-10-29T11:58:00Z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a696f23f-e84f-48a4-bf28-b4ba33dc2b70</vt:lpwstr>
  </property>
</Properties>
</file>